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AF9" w:rsidRPr="00730791" w:rsidRDefault="00B439CF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730791">
        <w:rPr>
          <w:color w:val="000000"/>
          <w:sz w:val="28"/>
          <w:szCs w:val="28"/>
        </w:rPr>
        <w:t xml:space="preserve">                                     </w:t>
      </w:r>
    </w:p>
    <w:p w:rsidR="00191AF9" w:rsidRPr="00730791" w:rsidRDefault="00B439CF">
      <w:pPr>
        <w:ind w:left="-540" w:firstLine="540"/>
        <w:jc w:val="center"/>
        <w:rPr>
          <w:color w:val="000000"/>
        </w:rPr>
      </w:pPr>
      <w:r w:rsidRPr="00730791">
        <w:rPr>
          <w:b/>
          <w:color w:val="000000"/>
          <w:sz w:val="28"/>
          <w:szCs w:val="28"/>
        </w:rPr>
        <w:t xml:space="preserve"> </w:t>
      </w:r>
    </w:p>
    <w:p w:rsidR="00191AF9" w:rsidRPr="00730791" w:rsidRDefault="00B439CF">
      <w:pPr>
        <w:ind w:left="-540" w:firstLine="540"/>
        <w:jc w:val="right"/>
        <w:rPr>
          <w:color w:val="000000"/>
        </w:rPr>
      </w:pPr>
      <w:r w:rsidRPr="00730791">
        <w:rPr>
          <w:color w:val="000000"/>
          <w:sz w:val="28"/>
        </w:rPr>
        <w:t>ПРОЕКТ</w:t>
      </w:r>
    </w:p>
    <w:p w:rsidR="00191AF9" w:rsidRPr="00730791" w:rsidRDefault="00191AF9">
      <w:pPr>
        <w:ind w:left="-540" w:firstLine="540"/>
        <w:jc w:val="center"/>
        <w:rPr>
          <w:color w:val="000000"/>
        </w:rPr>
      </w:pPr>
    </w:p>
    <w:p w:rsidR="00191AF9" w:rsidRPr="00730791" w:rsidRDefault="00B439CF">
      <w:pPr>
        <w:ind w:left="-540" w:firstLine="540"/>
        <w:jc w:val="center"/>
        <w:rPr>
          <w:color w:val="000000"/>
        </w:rPr>
      </w:pPr>
      <w:r w:rsidRPr="00730791">
        <w:rPr>
          <w:color w:val="000000"/>
          <w:sz w:val="28"/>
        </w:rPr>
        <w:t>РОССИЙСКАЯ ФЕДЕРАЦИЯ</w:t>
      </w:r>
    </w:p>
    <w:p w:rsidR="00191AF9" w:rsidRPr="00730791" w:rsidRDefault="00B439CF">
      <w:pPr>
        <w:ind w:left="-540" w:firstLine="540"/>
        <w:jc w:val="center"/>
        <w:rPr>
          <w:color w:val="000000"/>
        </w:rPr>
      </w:pPr>
      <w:r w:rsidRPr="00730791">
        <w:rPr>
          <w:color w:val="000000"/>
          <w:sz w:val="28"/>
        </w:rPr>
        <w:t>СОВЕТ ДЕПУТАТОВ</w:t>
      </w:r>
    </w:p>
    <w:p w:rsidR="00191AF9" w:rsidRPr="00730791" w:rsidRDefault="00B439CF">
      <w:pPr>
        <w:ind w:left="-540" w:firstLine="540"/>
        <w:jc w:val="center"/>
        <w:rPr>
          <w:color w:val="000000"/>
        </w:rPr>
      </w:pPr>
      <w:r w:rsidRPr="00730791">
        <w:rPr>
          <w:color w:val="000000"/>
          <w:sz w:val="28"/>
        </w:rPr>
        <w:t>МУНИЦИПАЛЬНОГО ОКРУГА СЕРЕБРЯНЫЕ ПРУДЫ</w:t>
      </w:r>
    </w:p>
    <w:p w:rsidR="00191AF9" w:rsidRPr="00730791" w:rsidRDefault="00B439CF">
      <w:pPr>
        <w:ind w:left="-540" w:firstLine="540"/>
        <w:jc w:val="center"/>
        <w:rPr>
          <w:color w:val="000000"/>
        </w:rPr>
      </w:pPr>
      <w:r w:rsidRPr="00730791">
        <w:rPr>
          <w:color w:val="000000"/>
          <w:sz w:val="28"/>
        </w:rPr>
        <w:t>МОСКОВСКОЙ ОБЛАСТИ</w:t>
      </w:r>
    </w:p>
    <w:p w:rsidR="00191AF9" w:rsidRPr="00730791" w:rsidRDefault="00191AF9">
      <w:pPr>
        <w:ind w:left="-540" w:firstLine="540"/>
        <w:jc w:val="center"/>
        <w:rPr>
          <w:color w:val="000000"/>
        </w:rPr>
      </w:pPr>
    </w:p>
    <w:p w:rsidR="00191AF9" w:rsidRPr="00730791" w:rsidRDefault="00B439CF" w:rsidP="00DC1FE7">
      <w:pPr>
        <w:ind w:left="-540" w:firstLine="540"/>
        <w:jc w:val="center"/>
        <w:rPr>
          <w:color w:val="000000"/>
          <w:sz w:val="28"/>
        </w:rPr>
      </w:pPr>
      <w:r w:rsidRPr="00730791">
        <w:rPr>
          <w:color w:val="000000"/>
          <w:sz w:val="28"/>
        </w:rPr>
        <w:t>РЕШЕНИЕ</w:t>
      </w:r>
      <w:bookmarkStart w:id="1" w:name="undefined"/>
      <w:bookmarkEnd w:id="1"/>
    </w:p>
    <w:p w:rsidR="00191AF9" w:rsidRPr="00730791" w:rsidRDefault="00191AF9">
      <w:pPr>
        <w:rPr>
          <w:color w:val="000000"/>
          <w:sz w:val="28"/>
        </w:rPr>
      </w:pPr>
    </w:p>
    <w:p w:rsidR="00191AF9" w:rsidRPr="00730791" w:rsidRDefault="00B439CF">
      <w:pPr>
        <w:jc w:val="center"/>
        <w:rPr>
          <w:color w:val="000000"/>
          <w:sz w:val="28"/>
        </w:rPr>
      </w:pPr>
      <w:r w:rsidRPr="00730791">
        <w:rPr>
          <w:color w:val="000000"/>
          <w:sz w:val="28"/>
        </w:rPr>
        <w:t>Об исполнении бюджета</w:t>
      </w:r>
    </w:p>
    <w:p w:rsidR="00191AF9" w:rsidRPr="00730791" w:rsidRDefault="00B439CF">
      <w:pPr>
        <w:ind w:left="-540" w:firstLine="540"/>
        <w:jc w:val="center"/>
        <w:rPr>
          <w:color w:val="000000"/>
          <w:sz w:val="28"/>
        </w:rPr>
      </w:pPr>
      <w:r w:rsidRPr="00730791">
        <w:rPr>
          <w:color w:val="000000"/>
          <w:sz w:val="28"/>
          <w:highlight w:val="white"/>
        </w:rPr>
        <w:t xml:space="preserve">городского </w:t>
      </w:r>
      <w:r w:rsidRPr="00730791">
        <w:rPr>
          <w:color w:val="000000"/>
          <w:sz w:val="28"/>
        </w:rPr>
        <w:t xml:space="preserve">округа Серебряные Пруды </w:t>
      </w:r>
    </w:p>
    <w:p w:rsidR="00191AF9" w:rsidRDefault="00B439CF">
      <w:pPr>
        <w:ind w:left="-540" w:firstLine="5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Московской области за 2024 год </w:t>
      </w:r>
    </w:p>
    <w:p w:rsidR="00191AF9" w:rsidRDefault="00191AF9">
      <w:pPr>
        <w:ind w:left="-540" w:firstLine="540"/>
        <w:jc w:val="center"/>
        <w:rPr>
          <w:color w:val="000000"/>
          <w:sz w:val="28"/>
          <w:szCs w:val="28"/>
        </w:rPr>
      </w:pPr>
    </w:p>
    <w:p w:rsidR="00191AF9" w:rsidRDefault="00B439CF">
      <w:pPr>
        <w:ind w:firstLine="720"/>
        <w:jc w:val="center"/>
        <w:rPr>
          <w:color w:val="000000"/>
          <w:sz w:val="28"/>
        </w:rPr>
      </w:pPr>
      <w:r>
        <w:rPr>
          <w:color w:val="000000"/>
          <w:sz w:val="28"/>
        </w:rPr>
        <w:t>В соответствии с главой 25.1 Бюджетного кодекса Российской Федерации, Положением о бюджетном процессе в муниципальном округе Серебряные Пруды Московской области</w:t>
      </w:r>
    </w:p>
    <w:p w:rsidR="00191AF9" w:rsidRDefault="00191AF9">
      <w:pPr>
        <w:ind w:firstLine="720"/>
        <w:jc w:val="both"/>
        <w:rPr>
          <w:sz w:val="28"/>
        </w:rPr>
      </w:pPr>
    </w:p>
    <w:p w:rsidR="00191AF9" w:rsidRDefault="00B439CF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 ОКРУГА РЕШИЛ:</w:t>
      </w:r>
    </w:p>
    <w:p w:rsidR="00191AF9" w:rsidRDefault="00191AF9">
      <w:pPr>
        <w:ind w:left="-540" w:firstLine="540"/>
        <w:jc w:val="center"/>
        <w:rPr>
          <w:sz w:val="28"/>
        </w:rPr>
      </w:pPr>
    </w:p>
    <w:p w:rsidR="00191AF9" w:rsidRDefault="00B439CF">
      <w:pPr>
        <w:jc w:val="both"/>
        <w:rPr>
          <w:color w:val="FF0000"/>
          <w:sz w:val="28"/>
        </w:rPr>
      </w:pPr>
      <w:r w:rsidRPr="00730791">
        <w:rPr>
          <w:bCs/>
          <w:color w:val="000000"/>
          <w:sz w:val="28"/>
        </w:rPr>
        <w:t xml:space="preserve">        1.Утвердить отчет об исполнении бюджета городского округа за 2024 год по доходам в сумме 2 587 241,78 тыс. рублей, по расходам в сумме 2 553 986,72 тыс. рублей с </w:t>
      </w:r>
      <w:r w:rsidRPr="00730791">
        <w:rPr>
          <w:color w:val="000000"/>
          <w:sz w:val="28"/>
          <w:szCs w:val="28"/>
        </w:rPr>
        <w:t xml:space="preserve">превышением доходов над расходами (профицит бюджета городского округа Серебряные Пруды Московской области) в сумме 33 255,06 тыс. рублей. </w:t>
      </w:r>
    </w:p>
    <w:p w:rsidR="00191AF9" w:rsidRDefault="00B439CF">
      <w:pPr>
        <w:shd w:val="clear" w:color="auto" w:fill="FFFFFF"/>
        <w:jc w:val="both"/>
        <w:rPr>
          <w:sz w:val="28"/>
        </w:rPr>
      </w:pPr>
      <w:r>
        <w:rPr>
          <w:color w:val="FF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2.Установить, что за 2024 год фактический объем бюджетных ассигнований, направленных на исполнение публичных нормативных обязательств, составил 0,00 тыс. рублей. </w:t>
      </w:r>
    </w:p>
    <w:p w:rsidR="00191AF9" w:rsidRDefault="00B439CF">
      <w:pPr>
        <w:shd w:val="clear" w:color="auto" w:fill="FFFFFF"/>
        <w:jc w:val="both"/>
        <w:rPr>
          <w:sz w:val="28"/>
          <w:szCs w:val="28"/>
        </w:rPr>
      </w:pPr>
      <w:r>
        <w:rPr>
          <w:color w:val="FF0000"/>
          <w:sz w:val="28"/>
        </w:rPr>
        <w:t xml:space="preserve">    </w:t>
      </w:r>
      <w:r>
        <w:rPr>
          <w:sz w:val="28"/>
        </w:rPr>
        <w:t xml:space="preserve">    3. Установить, что фактический объем муниципального долга городского округа Серебряные Пруды Московской области на 01.01.2025 года составил 39 262,00 тыс. рублей, в том числе по муниципальным гарантиям 0,00 рублей.</w:t>
      </w:r>
    </w:p>
    <w:p w:rsidR="00191AF9" w:rsidRPr="00730791" w:rsidRDefault="00B439C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Pr="00730791">
        <w:rPr>
          <w:color w:val="000000"/>
          <w:sz w:val="28"/>
          <w:szCs w:val="28"/>
        </w:rPr>
        <w:t xml:space="preserve">  4.Установить, что фактически использованны</w:t>
      </w:r>
      <w:r w:rsidR="00DC1FE7" w:rsidRPr="00730791">
        <w:rPr>
          <w:color w:val="000000"/>
          <w:sz w:val="28"/>
          <w:szCs w:val="28"/>
        </w:rPr>
        <w:t>й объем бюджетных ассигнований д</w:t>
      </w:r>
      <w:r w:rsidRPr="00730791">
        <w:rPr>
          <w:color w:val="000000"/>
          <w:sz w:val="28"/>
          <w:szCs w:val="28"/>
        </w:rPr>
        <w:t xml:space="preserve">орожного фонда </w:t>
      </w:r>
      <w:r w:rsidRPr="00730791">
        <w:rPr>
          <w:color w:val="000000"/>
          <w:sz w:val="28"/>
          <w:highlight w:val="white"/>
        </w:rPr>
        <w:t xml:space="preserve">городского </w:t>
      </w:r>
      <w:r w:rsidRPr="00730791">
        <w:rPr>
          <w:color w:val="000000"/>
          <w:sz w:val="28"/>
        </w:rPr>
        <w:t>округа Серебряные Пруды Московской области</w:t>
      </w:r>
      <w:r w:rsidRPr="00730791">
        <w:rPr>
          <w:color w:val="000000"/>
          <w:sz w:val="28"/>
          <w:szCs w:val="28"/>
        </w:rPr>
        <w:t xml:space="preserve"> за 2024 год составил 191 794,31 тыс. рублей.</w:t>
      </w:r>
    </w:p>
    <w:p w:rsidR="00191AF9" w:rsidRDefault="00B439CF">
      <w:pPr>
        <w:shd w:val="clear" w:color="auto" w:fill="FFFFFF"/>
        <w:jc w:val="both"/>
        <w:rPr>
          <w:sz w:val="28"/>
        </w:rPr>
      </w:pPr>
      <w:r>
        <w:rPr>
          <w:color w:val="FF0000"/>
          <w:sz w:val="28"/>
        </w:rPr>
        <w:t xml:space="preserve">      </w:t>
      </w:r>
      <w:r>
        <w:rPr>
          <w:sz w:val="28"/>
        </w:rPr>
        <w:t xml:space="preserve">  5. Утвердить:</w:t>
      </w:r>
    </w:p>
    <w:p w:rsidR="00191AF9" w:rsidRDefault="00B439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доходы бюджета городского округа Серебряные Пруды Московской области по кодам классификации доходов бюджетов</w:t>
      </w:r>
      <w:r w:rsidRPr="00B439CF">
        <w:rPr>
          <w:sz w:val="28"/>
          <w:szCs w:val="28"/>
        </w:rPr>
        <w:t xml:space="preserve"> </w:t>
      </w:r>
      <w:r>
        <w:rPr>
          <w:sz w:val="28"/>
          <w:szCs w:val="28"/>
        </w:rPr>
        <w:t>за 2024 год согласно приложению 1 к настоящему решению;</w:t>
      </w:r>
    </w:p>
    <w:p w:rsidR="00191AF9" w:rsidRDefault="00B439CF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расходы бюджета городского округа Серебряные Пруды Московской области по разделам, подразделам,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расходов бюджетов городского округа Серебряные Пруды Московской области за 2024 год согласно приложению 2 к настоящему  решению;  </w:t>
      </w:r>
      <w:r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191AF9" w:rsidRDefault="00B439CF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расходы бюджета городского округа Серебряные Пруды Московской области по ведомственной структуре расходов бюджета городского округа </w:t>
      </w:r>
      <w:r>
        <w:rPr>
          <w:rFonts w:eastAsia="Calibri"/>
          <w:sz w:val="28"/>
          <w:szCs w:val="28"/>
        </w:rPr>
        <w:t xml:space="preserve">Серебряные Пруды </w:t>
      </w:r>
      <w:r>
        <w:rPr>
          <w:sz w:val="28"/>
          <w:szCs w:val="28"/>
        </w:rPr>
        <w:t xml:space="preserve">Московской области за 2024 год согласно приложению 3 </w:t>
      </w:r>
      <w:r>
        <w:rPr>
          <w:sz w:val="28"/>
          <w:szCs w:val="28"/>
        </w:rPr>
        <w:br w:type="textWrapping" w:clear="all"/>
        <w:t xml:space="preserve">к настоящему решению;  </w:t>
      </w:r>
    </w:p>
    <w:p w:rsidR="00191AF9" w:rsidRDefault="00B439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 расходы бюджета городского округа Серебряные Пруды Московской области по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за 2024 год согласно приложению 4 к настоящему решению;  </w:t>
      </w:r>
    </w:p>
    <w:p w:rsidR="00191AF9" w:rsidRDefault="00B439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-субвенции, субсидии и ины</w:t>
      </w:r>
      <w:r w:rsidR="00FC7007">
        <w:rPr>
          <w:sz w:val="28"/>
          <w:szCs w:val="28"/>
        </w:rPr>
        <w:t xml:space="preserve">е </w:t>
      </w:r>
      <w:r>
        <w:rPr>
          <w:sz w:val="28"/>
          <w:szCs w:val="28"/>
        </w:rPr>
        <w:t>межбюджетные трансферты, предоставленные городскому округу Серебряные Пруды Московской области из бюджета Московской области за 2024 год согласно приложению 5 к настоящему решению;</w:t>
      </w:r>
    </w:p>
    <w:p w:rsidR="00191AF9" w:rsidRDefault="00B43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</w:rPr>
        <w:t>-</w:t>
      </w:r>
      <w:r>
        <w:rPr>
          <w:sz w:val="28"/>
          <w:szCs w:val="28"/>
        </w:rPr>
        <w:t xml:space="preserve">показатели выполнения Программы муниципальных внутренних заимствований городского округа Серебряные Пруды Московской области </w:t>
      </w:r>
      <w:r>
        <w:rPr>
          <w:sz w:val="28"/>
          <w:szCs w:val="28"/>
        </w:rPr>
        <w:br w:type="textWrapping" w:clear="all"/>
        <w:t xml:space="preserve">за 2024 год </w:t>
      </w:r>
      <w:r>
        <w:rPr>
          <w:sz w:val="28"/>
        </w:rPr>
        <w:t>согласно приложению 6 к настоящему решению;</w:t>
      </w:r>
    </w:p>
    <w:p w:rsidR="00191AF9" w:rsidRDefault="00B439CF">
      <w:pPr>
        <w:jc w:val="both"/>
        <w:rPr>
          <w:sz w:val="28"/>
        </w:rPr>
      </w:pPr>
      <w:r>
        <w:rPr>
          <w:sz w:val="28"/>
        </w:rPr>
        <w:t xml:space="preserve"> </w:t>
      </w:r>
      <w:r>
        <w:t xml:space="preserve">       </w:t>
      </w:r>
      <w:r>
        <w:rPr>
          <w:sz w:val="28"/>
        </w:rPr>
        <w:t xml:space="preserve">   - источники</w:t>
      </w:r>
      <w:r w:rsidR="00B94ECC">
        <w:rPr>
          <w:sz w:val="28"/>
        </w:rPr>
        <w:t xml:space="preserve"> внутреннего</w:t>
      </w:r>
      <w:r>
        <w:rPr>
          <w:sz w:val="28"/>
        </w:rPr>
        <w:t xml:space="preserve"> финансирования дефицита бюджета </w:t>
      </w:r>
      <w:r>
        <w:rPr>
          <w:sz w:val="28"/>
          <w:szCs w:val="28"/>
        </w:rPr>
        <w:t>городского округа Серебряные Пруды Московской области</w:t>
      </w:r>
      <w:r>
        <w:rPr>
          <w:sz w:val="28"/>
        </w:rPr>
        <w:t xml:space="preserve"> по кодам классификации источников финансирования дефицитов бюджетов за 2</w:t>
      </w:r>
      <w:r w:rsidR="00B94ECC">
        <w:rPr>
          <w:sz w:val="28"/>
        </w:rPr>
        <w:t xml:space="preserve">024 год, согласно приложению 7 </w:t>
      </w:r>
      <w:r w:rsidR="00DC1FE7">
        <w:rPr>
          <w:sz w:val="28"/>
        </w:rPr>
        <w:t>к настоящему решению;</w:t>
      </w:r>
    </w:p>
    <w:p w:rsidR="00DC1FE7" w:rsidRDefault="00DC1FE7">
      <w:pPr>
        <w:jc w:val="both"/>
        <w:rPr>
          <w:sz w:val="28"/>
          <w:szCs w:val="28"/>
        </w:rPr>
      </w:pPr>
      <w:r>
        <w:t xml:space="preserve">          - </w:t>
      </w:r>
      <w:r>
        <w:rPr>
          <w:sz w:val="28"/>
          <w:szCs w:val="28"/>
        </w:rPr>
        <w:t xml:space="preserve">  показатели выполнения Программы муниципальных гарантий городского округа Серебряные Пруды Московской области за 2024 год </w:t>
      </w:r>
      <w:r>
        <w:rPr>
          <w:sz w:val="28"/>
        </w:rPr>
        <w:t>согласно приложению 8 к настоящему решению.</w:t>
      </w:r>
    </w:p>
    <w:p w:rsidR="00191AF9" w:rsidRDefault="00B439CF">
      <w:pPr>
        <w:ind w:firstLine="630"/>
        <w:jc w:val="both"/>
      </w:pPr>
      <w:r>
        <w:rPr>
          <w:sz w:val="28"/>
        </w:rPr>
        <w:t xml:space="preserve">6. Принять к сведению: </w:t>
      </w:r>
    </w:p>
    <w:p w:rsidR="00191AF9" w:rsidRDefault="00B439CF">
      <w:pPr>
        <w:ind w:firstLine="630"/>
        <w:jc w:val="both"/>
        <w:rPr>
          <w:sz w:val="28"/>
        </w:rPr>
      </w:pPr>
      <w:r>
        <w:rPr>
          <w:sz w:val="28"/>
        </w:rPr>
        <w:t xml:space="preserve">- информацию о состоянии муниципального долга городского округа Серебряные Пруды Московской области за 2024 год согласно приложению 9 </w:t>
      </w:r>
      <w:r>
        <w:rPr>
          <w:sz w:val="28"/>
        </w:rPr>
        <w:br w:type="textWrapping" w:clear="all"/>
        <w:t>к настоящему решению;</w:t>
      </w:r>
    </w:p>
    <w:p w:rsidR="00191AF9" w:rsidRDefault="00B439CF">
      <w:pPr>
        <w:ind w:firstLine="63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информацию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городскому округу Серебряные Пруды Московской области за 2024 год согласно приложению 10 к настоящему решению;</w:t>
      </w:r>
    </w:p>
    <w:p w:rsidR="00191AF9" w:rsidRDefault="00B439CF">
      <w:pPr>
        <w:ind w:firstLine="630"/>
        <w:jc w:val="both"/>
        <w:rPr>
          <w:sz w:val="28"/>
          <w:szCs w:val="28"/>
        </w:rPr>
      </w:pPr>
      <w:r>
        <w:rPr>
          <w:sz w:val="28"/>
        </w:rPr>
        <w:t xml:space="preserve">- информацию о расходовании резервного фонда администрации городского округа Серебряные Пруды Московской области на предупреждение </w:t>
      </w:r>
      <w:r>
        <w:rPr>
          <w:sz w:val="28"/>
        </w:rPr>
        <w:br w:type="textWrapping" w:clear="all"/>
        <w:t xml:space="preserve">и ликвидацию чрезвычайных ситуаций и последствий стихийных бедствий </w:t>
      </w:r>
      <w:r>
        <w:rPr>
          <w:sz w:val="28"/>
        </w:rPr>
        <w:br w:type="textWrapping" w:clear="all"/>
        <w:t xml:space="preserve">за 2024 </w:t>
      </w:r>
      <w:r>
        <w:rPr>
          <w:sz w:val="28"/>
          <w:szCs w:val="28"/>
        </w:rPr>
        <w:t>год согласно приложению 11 к настоящему решению.</w:t>
      </w:r>
    </w:p>
    <w:p w:rsidR="00191AF9" w:rsidRDefault="00B439CF">
      <w:pPr>
        <w:ind w:firstLine="630"/>
        <w:jc w:val="both"/>
        <w:rPr>
          <w:sz w:val="28"/>
          <w:szCs w:val="28"/>
        </w:rPr>
      </w:pPr>
      <w:r>
        <w:rPr>
          <w:sz w:val="28"/>
        </w:rPr>
        <w:t xml:space="preserve">- информацию о расходовании бюджетных ассигнований дорожного фонда администрации городского округа Серебряные Пруды Московской области </w:t>
      </w:r>
      <w:r>
        <w:rPr>
          <w:sz w:val="28"/>
        </w:rPr>
        <w:br w:type="textWrapping" w:clear="all"/>
        <w:t xml:space="preserve">за 2024 </w:t>
      </w:r>
      <w:r>
        <w:rPr>
          <w:sz w:val="28"/>
          <w:szCs w:val="28"/>
        </w:rPr>
        <w:t>год согласно приложению 12 к настоящему решению.</w:t>
      </w:r>
    </w:p>
    <w:p w:rsidR="00191AF9" w:rsidRDefault="00B439CF" w:rsidP="00DC1FE7">
      <w:pPr>
        <w:ind w:firstLine="720"/>
        <w:jc w:val="both"/>
        <w:rPr>
          <w:color w:val="FF0000"/>
        </w:rPr>
      </w:pPr>
      <w:r>
        <w:rPr>
          <w:bCs/>
          <w:sz w:val="28"/>
          <w:szCs w:val="28"/>
        </w:rPr>
        <w:t>7.</w:t>
      </w:r>
      <w:r>
        <w:rPr>
          <w:sz w:val="28"/>
          <w:szCs w:val="28"/>
        </w:rPr>
        <w:t xml:space="preserve"> Разместить настоящее решение в сетевом издании «Городской округ Серебряные 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191AF9" w:rsidRDefault="00B439CF">
      <w:pPr>
        <w:pStyle w:val="34"/>
        <w:ind w:firstLine="540"/>
        <w:rPr>
          <w:color w:val="FF0000"/>
        </w:rPr>
      </w:pPr>
      <w:r>
        <w:t xml:space="preserve"> 8.Настоящее решение вступает в силу после его официального опубликования.</w:t>
      </w:r>
    </w:p>
    <w:p w:rsidR="00191AF9" w:rsidRDefault="00191AF9">
      <w:pPr>
        <w:pStyle w:val="34"/>
        <w:ind w:firstLine="540"/>
      </w:pPr>
    </w:p>
    <w:p w:rsidR="00191AF9" w:rsidRDefault="00B439CF">
      <w:pPr>
        <w:pStyle w:val="34"/>
        <w:ind w:firstLine="0"/>
      </w:pPr>
      <w:r>
        <w:t>Председатель Совета депутатов</w:t>
      </w:r>
    </w:p>
    <w:p w:rsidR="00191AF9" w:rsidRDefault="00B439CF">
      <w:pPr>
        <w:pStyle w:val="34"/>
        <w:ind w:firstLine="0"/>
      </w:pPr>
      <w:r>
        <w:t xml:space="preserve">муниципального округа Серебряные Пруды </w:t>
      </w:r>
    </w:p>
    <w:p w:rsidR="00DC1FE7" w:rsidRDefault="00B439CF">
      <w:pPr>
        <w:pStyle w:val="34"/>
        <w:ind w:firstLine="0"/>
      </w:pPr>
      <w:r>
        <w:t xml:space="preserve">Московской области      </w:t>
      </w:r>
    </w:p>
    <w:p w:rsidR="00191AF9" w:rsidRDefault="00B439CF">
      <w:pPr>
        <w:pStyle w:val="34"/>
        <w:ind w:firstLine="0"/>
      </w:pPr>
      <w:r>
        <w:t xml:space="preserve">                                                                     </w:t>
      </w:r>
      <w:r w:rsidR="00DC1FE7">
        <w:t xml:space="preserve">                                          </w:t>
      </w:r>
      <w:r>
        <w:t xml:space="preserve"> В.В. Растегаев</w:t>
      </w:r>
    </w:p>
    <w:p w:rsidR="00191AF9" w:rsidRDefault="00B439CF">
      <w:pPr>
        <w:pStyle w:val="34"/>
        <w:ind w:firstLine="0"/>
      </w:pPr>
      <w:r>
        <w:t xml:space="preserve">Глава муниципального округа </w:t>
      </w:r>
    </w:p>
    <w:p w:rsidR="00191AF9" w:rsidRDefault="00B439CF">
      <w:pPr>
        <w:pStyle w:val="34"/>
        <w:ind w:firstLine="0"/>
      </w:pPr>
      <w:r>
        <w:t>Серебряные Пруды Московской области                                          О.В. Павлихин</w:t>
      </w:r>
    </w:p>
    <w:sectPr w:rsidR="00191AF9">
      <w:pgSz w:w="11906" w:h="16838"/>
      <w:pgMar w:top="540" w:right="567" w:bottom="7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91" w:rsidRDefault="00730791">
      <w:r>
        <w:separator/>
      </w:r>
    </w:p>
  </w:endnote>
  <w:endnote w:type="continuationSeparator" w:id="0">
    <w:p w:rsidR="00730791" w:rsidRDefault="0073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91" w:rsidRDefault="00730791">
      <w:r>
        <w:separator/>
      </w:r>
    </w:p>
  </w:footnote>
  <w:footnote w:type="continuationSeparator" w:id="0">
    <w:p w:rsidR="00730791" w:rsidRDefault="00730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4F2C"/>
    <w:multiLevelType w:val="hybridMultilevel"/>
    <w:tmpl w:val="FBC2F9FA"/>
    <w:lvl w:ilvl="0" w:tplc="A1F2587E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38EC346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ADA4B6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E227A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8384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130208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198F048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0726AD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98A5A9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D7F74DA"/>
    <w:multiLevelType w:val="hybridMultilevel"/>
    <w:tmpl w:val="57DC13B0"/>
    <w:lvl w:ilvl="0" w:tplc="8C260BB0">
      <w:start w:val="2"/>
      <w:numFmt w:val="decimal"/>
      <w:lvlText w:val="%1."/>
      <w:lvlJc w:val="left"/>
      <w:pPr>
        <w:ind w:left="900" w:hanging="360"/>
      </w:pPr>
    </w:lvl>
    <w:lvl w:ilvl="1" w:tplc="BF162FA8">
      <w:start w:val="1"/>
      <w:numFmt w:val="lowerLetter"/>
      <w:lvlText w:val="%2."/>
      <w:lvlJc w:val="left"/>
      <w:pPr>
        <w:ind w:left="1620" w:hanging="360"/>
      </w:pPr>
    </w:lvl>
    <w:lvl w:ilvl="2" w:tplc="C3204A62">
      <w:start w:val="1"/>
      <w:numFmt w:val="lowerRoman"/>
      <w:lvlText w:val="%3."/>
      <w:lvlJc w:val="right"/>
      <w:pPr>
        <w:ind w:left="2340" w:hanging="180"/>
      </w:pPr>
    </w:lvl>
    <w:lvl w:ilvl="3" w:tplc="EDD80B8C">
      <w:start w:val="1"/>
      <w:numFmt w:val="decimal"/>
      <w:lvlText w:val="%4."/>
      <w:lvlJc w:val="left"/>
      <w:pPr>
        <w:ind w:left="3060" w:hanging="360"/>
      </w:pPr>
    </w:lvl>
    <w:lvl w:ilvl="4" w:tplc="34EC9E7C">
      <w:start w:val="1"/>
      <w:numFmt w:val="lowerLetter"/>
      <w:lvlText w:val="%5."/>
      <w:lvlJc w:val="left"/>
      <w:pPr>
        <w:ind w:left="3780" w:hanging="360"/>
      </w:pPr>
    </w:lvl>
    <w:lvl w:ilvl="5" w:tplc="8FFE8E2C">
      <w:start w:val="1"/>
      <w:numFmt w:val="lowerRoman"/>
      <w:lvlText w:val="%6."/>
      <w:lvlJc w:val="right"/>
      <w:pPr>
        <w:ind w:left="4500" w:hanging="180"/>
      </w:pPr>
    </w:lvl>
    <w:lvl w:ilvl="6" w:tplc="CD583896">
      <w:start w:val="1"/>
      <w:numFmt w:val="decimal"/>
      <w:lvlText w:val="%7."/>
      <w:lvlJc w:val="left"/>
      <w:pPr>
        <w:ind w:left="5220" w:hanging="360"/>
      </w:pPr>
    </w:lvl>
    <w:lvl w:ilvl="7" w:tplc="1CDEBFDE">
      <w:start w:val="1"/>
      <w:numFmt w:val="lowerLetter"/>
      <w:lvlText w:val="%8."/>
      <w:lvlJc w:val="left"/>
      <w:pPr>
        <w:ind w:left="5940" w:hanging="360"/>
      </w:pPr>
    </w:lvl>
    <w:lvl w:ilvl="8" w:tplc="1E307114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B54E9D"/>
    <w:multiLevelType w:val="hybridMultilevel"/>
    <w:tmpl w:val="5E765BBA"/>
    <w:lvl w:ilvl="0" w:tplc="880831FC">
      <w:start w:val="1"/>
      <w:numFmt w:val="bullet"/>
      <w:lvlText w:val="–"/>
      <w:lvlJc w:val="left"/>
      <w:pPr>
        <w:ind w:left="1339" w:hanging="360"/>
      </w:pPr>
      <w:rPr>
        <w:rFonts w:ascii="Arial" w:eastAsia="Arial" w:hAnsi="Arial" w:cs="Arial" w:hint="default"/>
      </w:rPr>
    </w:lvl>
    <w:lvl w:ilvl="1" w:tplc="E154FB5C">
      <w:start w:val="1"/>
      <w:numFmt w:val="bullet"/>
      <w:lvlText w:val="o"/>
      <w:lvlJc w:val="left"/>
      <w:pPr>
        <w:ind w:left="2059" w:hanging="360"/>
      </w:pPr>
      <w:rPr>
        <w:rFonts w:ascii="Courier New" w:eastAsia="Courier New" w:hAnsi="Courier New" w:cs="Courier New" w:hint="default"/>
      </w:rPr>
    </w:lvl>
    <w:lvl w:ilvl="2" w:tplc="AD7E3CE8">
      <w:start w:val="1"/>
      <w:numFmt w:val="bullet"/>
      <w:lvlText w:val="§"/>
      <w:lvlJc w:val="left"/>
      <w:pPr>
        <w:ind w:left="2779" w:hanging="360"/>
      </w:pPr>
      <w:rPr>
        <w:rFonts w:ascii="Wingdings" w:eastAsia="Wingdings" w:hAnsi="Wingdings" w:cs="Wingdings" w:hint="default"/>
      </w:rPr>
    </w:lvl>
    <w:lvl w:ilvl="3" w:tplc="EECCA342">
      <w:start w:val="1"/>
      <w:numFmt w:val="bullet"/>
      <w:lvlText w:val="·"/>
      <w:lvlJc w:val="left"/>
      <w:pPr>
        <w:ind w:left="3499" w:hanging="360"/>
      </w:pPr>
      <w:rPr>
        <w:rFonts w:ascii="Symbol" w:eastAsia="Symbol" w:hAnsi="Symbol" w:cs="Symbol" w:hint="default"/>
      </w:rPr>
    </w:lvl>
    <w:lvl w:ilvl="4" w:tplc="BBC865D2">
      <w:start w:val="1"/>
      <w:numFmt w:val="bullet"/>
      <w:lvlText w:val="o"/>
      <w:lvlJc w:val="left"/>
      <w:pPr>
        <w:ind w:left="4219" w:hanging="360"/>
      </w:pPr>
      <w:rPr>
        <w:rFonts w:ascii="Courier New" w:eastAsia="Courier New" w:hAnsi="Courier New" w:cs="Courier New" w:hint="default"/>
      </w:rPr>
    </w:lvl>
    <w:lvl w:ilvl="5" w:tplc="8D3EFCCA">
      <w:start w:val="1"/>
      <w:numFmt w:val="bullet"/>
      <w:lvlText w:val="§"/>
      <w:lvlJc w:val="left"/>
      <w:pPr>
        <w:ind w:left="4939" w:hanging="360"/>
      </w:pPr>
      <w:rPr>
        <w:rFonts w:ascii="Wingdings" w:eastAsia="Wingdings" w:hAnsi="Wingdings" w:cs="Wingdings" w:hint="default"/>
      </w:rPr>
    </w:lvl>
    <w:lvl w:ilvl="6" w:tplc="66425FA0">
      <w:start w:val="1"/>
      <w:numFmt w:val="bullet"/>
      <w:lvlText w:val="·"/>
      <w:lvlJc w:val="left"/>
      <w:pPr>
        <w:ind w:left="5659" w:hanging="360"/>
      </w:pPr>
      <w:rPr>
        <w:rFonts w:ascii="Symbol" w:eastAsia="Symbol" w:hAnsi="Symbol" w:cs="Symbol" w:hint="default"/>
      </w:rPr>
    </w:lvl>
    <w:lvl w:ilvl="7" w:tplc="04E2977C">
      <w:start w:val="1"/>
      <w:numFmt w:val="bullet"/>
      <w:lvlText w:val="o"/>
      <w:lvlJc w:val="left"/>
      <w:pPr>
        <w:ind w:left="6379" w:hanging="360"/>
      </w:pPr>
      <w:rPr>
        <w:rFonts w:ascii="Courier New" w:eastAsia="Courier New" w:hAnsi="Courier New" w:cs="Courier New" w:hint="default"/>
      </w:rPr>
    </w:lvl>
    <w:lvl w:ilvl="8" w:tplc="F6001BDC">
      <w:start w:val="1"/>
      <w:numFmt w:val="bullet"/>
      <w:lvlText w:val="§"/>
      <w:lvlJc w:val="left"/>
      <w:pPr>
        <w:ind w:left="709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8FD1D21"/>
    <w:multiLevelType w:val="hybridMultilevel"/>
    <w:tmpl w:val="8A24F4F6"/>
    <w:lvl w:ilvl="0" w:tplc="34146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0E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AC06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0E83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E1B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BECB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686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4E0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10AC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E278C"/>
    <w:multiLevelType w:val="hybridMultilevel"/>
    <w:tmpl w:val="E44CBC88"/>
    <w:lvl w:ilvl="0" w:tplc="46C2E1D0">
      <w:start w:val="1"/>
      <w:numFmt w:val="decimal"/>
      <w:lvlText w:val="%1."/>
      <w:lvlJc w:val="left"/>
      <w:pPr>
        <w:ind w:left="1080" w:hanging="360"/>
      </w:pPr>
    </w:lvl>
    <w:lvl w:ilvl="1" w:tplc="AC40C784">
      <w:start w:val="1"/>
      <w:numFmt w:val="lowerLetter"/>
      <w:lvlText w:val="%2."/>
      <w:lvlJc w:val="left"/>
      <w:pPr>
        <w:ind w:left="1800" w:hanging="360"/>
      </w:pPr>
    </w:lvl>
    <w:lvl w:ilvl="2" w:tplc="C0DE9FF2">
      <w:start w:val="1"/>
      <w:numFmt w:val="lowerRoman"/>
      <w:lvlText w:val="%3."/>
      <w:lvlJc w:val="right"/>
      <w:pPr>
        <w:ind w:left="2520" w:hanging="180"/>
      </w:pPr>
    </w:lvl>
    <w:lvl w:ilvl="3" w:tplc="B78AC222">
      <w:start w:val="1"/>
      <w:numFmt w:val="decimal"/>
      <w:lvlText w:val="%4."/>
      <w:lvlJc w:val="left"/>
      <w:pPr>
        <w:ind w:left="3240" w:hanging="360"/>
      </w:pPr>
    </w:lvl>
    <w:lvl w:ilvl="4" w:tplc="39E0B126">
      <w:start w:val="1"/>
      <w:numFmt w:val="lowerLetter"/>
      <w:lvlText w:val="%5."/>
      <w:lvlJc w:val="left"/>
      <w:pPr>
        <w:ind w:left="3960" w:hanging="360"/>
      </w:pPr>
    </w:lvl>
    <w:lvl w:ilvl="5" w:tplc="85AEDE3A">
      <w:start w:val="1"/>
      <w:numFmt w:val="lowerRoman"/>
      <w:lvlText w:val="%6."/>
      <w:lvlJc w:val="right"/>
      <w:pPr>
        <w:ind w:left="4680" w:hanging="180"/>
      </w:pPr>
    </w:lvl>
    <w:lvl w:ilvl="6" w:tplc="F824302A">
      <w:start w:val="1"/>
      <w:numFmt w:val="decimal"/>
      <w:lvlText w:val="%7."/>
      <w:lvlJc w:val="left"/>
      <w:pPr>
        <w:ind w:left="5400" w:hanging="360"/>
      </w:pPr>
    </w:lvl>
    <w:lvl w:ilvl="7" w:tplc="1F4E7E52">
      <w:start w:val="1"/>
      <w:numFmt w:val="lowerLetter"/>
      <w:lvlText w:val="%8."/>
      <w:lvlJc w:val="left"/>
      <w:pPr>
        <w:ind w:left="6120" w:hanging="360"/>
      </w:pPr>
    </w:lvl>
    <w:lvl w:ilvl="8" w:tplc="75D4B360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330A70"/>
    <w:multiLevelType w:val="hybridMultilevel"/>
    <w:tmpl w:val="39EC86AA"/>
    <w:lvl w:ilvl="0" w:tplc="B85C58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DE4CD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5D850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A43E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44DD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49C36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8CF9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1946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567E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57DC5B1E"/>
    <w:multiLevelType w:val="hybridMultilevel"/>
    <w:tmpl w:val="BFAC9E26"/>
    <w:lvl w:ilvl="0" w:tplc="90AA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648AC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4438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65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B86E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AC42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D41B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627B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9A59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FB3E8B"/>
    <w:multiLevelType w:val="hybridMultilevel"/>
    <w:tmpl w:val="15387176"/>
    <w:lvl w:ilvl="0" w:tplc="31B8AAD2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AB927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BEE9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96F8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E1B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6D5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B645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83D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30C7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015AF4"/>
    <w:multiLevelType w:val="hybridMultilevel"/>
    <w:tmpl w:val="1F0A2730"/>
    <w:lvl w:ilvl="0" w:tplc="A75E6A6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88DCE1FA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2ACCD3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1F88064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94E3D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C8A604C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BEA6B0C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969DB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A05800DE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72FD1355"/>
    <w:multiLevelType w:val="hybridMultilevel"/>
    <w:tmpl w:val="CF0CB58A"/>
    <w:lvl w:ilvl="0" w:tplc="26C00B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8FA67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D60C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0A5D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5673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7C27D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CC0A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58E5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38FE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AF9"/>
    <w:rsid w:val="000513C7"/>
    <w:rsid w:val="00191AF9"/>
    <w:rsid w:val="00730791"/>
    <w:rsid w:val="00B439CF"/>
    <w:rsid w:val="00B94ECC"/>
    <w:rsid w:val="00DC1FE7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22A3F-CF2B-4550-8CD0-96C30B0F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2025-04-30T12:53:00Z</dcterms:created>
  <dcterms:modified xsi:type="dcterms:W3CDTF">2025-04-30T12:53:00Z</dcterms:modified>
  <cp:version>983040</cp:version>
</cp:coreProperties>
</file>